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FF97E" w14:textId="77777777" w:rsidR="00023719" w:rsidRPr="002F2012" w:rsidRDefault="00023719" w:rsidP="002F2012">
      <w:pPr>
        <w:pStyle w:val="TFReferencesSection"/>
        <w:spacing w:after="240" w:line="360" w:lineRule="auto"/>
        <w:ind w:firstLine="0"/>
        <w:jc w:val="center"/>
        <w:rPr>
          <w:b/>
          <w:bCs/>
          <w:sz w:val="28"/>
          <w:szCs w:val="22"/>
        </w:rPr>
      </w:pPr>
      <w:r w:rsidRPr="002F2012">
        <w:rPr>
          <w:b/>
          <w:bCs/>
          <w:sz w:val="28"/>
          <w:szCs w:val="22"/>
        </w:rPr>
        <w:t>TOC</w:t>
      </w:r>
      <w:bookmarkStart w:id="0" w:name="_GoBack"/>
      <w:bookmarkEnd w:id="0"/>
    </w:p>
    <w:p w14:paraId="74E34AD6" w14:textId="77777777" w:rsidR="00023719" w:rsidRDefault="00023719" w:rsidP="00023719">
      <w:pPr>
        <w:pStyle w:val="TAMainText"/>
        <w:spacing w:after="240"/>
        <w:ind w:firstLine="0"/>
        <w:jc w:val="left"/>
      </w:pPr>
      <w:r>
        <w:rPr>
          <w:noProof/>
        </w:rPr>
        <w:drawing>
          <wp:inline distT="0" distB="0" distL="0" distR="0" wp14:anchorId="4EBADB84" wp14:editId="718446D2">
            <wp:extent cx="5939790" cy="4317365"/>
            <wp:effectExtent l="0" t="0" r="381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39790" cy="4317365"/>
                    </a:xfrm>
                    <a:prstGeom prst="rect">
                      <a:avLst/>
                    </a:prstGeom>
                    <a:noFill/>
                    <a:ln>
                      <a:noFill/>
                    </a:ln>
                  </pic:spPr>
                </pic:pic>
              </a:graphicData>
            </a:graphic>
          </wp:inline>
        </w:drawing>
      </w:r>
      <w:r>
        <w:t xml:space="preserve"> </w:t>
      </w:r>
    </w:p>
    <w:p w14:paraId="58998830" w14:textId="77777777" w:rsidR="002F2012" w:rsidRPr="002F2012" w:rsidRDefault="002F04CB" w:rsidP="002F2012">
      <w:pPr>
        <w:pStyle w:val="BDAbstract"/>
        <w:spacing w:line="360" w:lineRule="auto"/>
        <w:rPr>
          <w:rFonts w:ascii="Times New Roman" w:hAnsi="Times New Roman"/>
        </w:rPr>
      </w:pPr>
      <w:r w:rsidRPr="002F2012">
        <w:rPr>
          <w:rFonts w:ascii="Times New Roman" w:hAnsi="Times New Roman"/>
          <w:szCs w:val="22"/>
        </w:rPr>
        <w:t xml:space="preserve">In this article, we combine state-of-art electronic structure calculations and crossed beam experiments to expose the reaction dynamics in the tin (Sn, </w:t>
      </w:r>
      <w:r w:rsidRPr="002F2012">
        <w:rPr>
          <w:rFonts w:ascii="Times New Roman" w:hAnsi="Times New Roman"/>
          <w:szCs w:val="22"/>
          <w:vertAlign w:val="superscript"/>
        </w:rPr>
        <w:t>3</w:t>
      </w:r>
      <w:r w:rsidRPr="002F2012">
        <w:rPr>
          <w:rFonts w:ascii="Times New Roman" w:hAnsi="Times New Roman"/>
          <w:szCs w:val="22"/>
        </w:rPr>
        <w:t>P</w:t>
      </w:r>
      <w:r w:rsidRPr="002F2012">
        <w:rPr>
          <w:rFonts w:ascii="Times New Roman" w:hAnsi="Times New Roman"/>
          <w:szCs w:val="22"/>
          <w:vertAlign w:val="subscript"/>
        </w:rPr>
        <w:t>j</w:t>
      </w:r>
      <w:r w:rsidRPr="002F2012">
        <w:rPr>
          <w:rFonts w:ascii="Times New Roman" w:hAnsi="Times New Roman"/>
          <w:szCs w:val="22"/>
        </w:rPr>
        <w:t>) − molecular oxygen (O</w:t>
      </w:r>
      <w:r w:rsidRPr="002F2012">
        <w:rPr>
          <w:rFonts w:ascii="Times New Roman" w:hAnsi="Times New Roman"/>
          <w:szCs w:val="22"/>
          <w:vertAlign w:val="subscript"/>
        </w:rPr>
        <w:t>2</w:t>
      </w:r>
      <w:r w:rsidRPr="002F2012">
        <w:rPr>
          <w:rFonts w:ascii="Times New Roman" w:hAnsi="Times New Roman"/>
          <w:szCs w:val="22"/>
        </w:rPr>
        <w:t>, X</w:t>
      </w:r>
      <w:r w:rsidRPr="002F2012">
        <w:rPr>
          <w:rFonts w:ascii="Times New Roman" w:hAnsi="Times New Roman"/>
          <w:szCs w:val="22"/>
          <w:vertAlign w:val="superscript"/>
        </w:rPr>
        <w:t>3</w:t>
      </w:r>
      <m:oMath>
        <m:sSubSup>
          <m:sSubSupPr>
            <m:ctrlPr>
              <w:rPr>
                <w:rFonts w:ascii="Cambria Math" w:hAnsi="Cambria Math"/>
                <w:i/>
                <w:szCs w:val="22"/>
              </w:rPr>
            </m:ctrlPr>
          </m:sSubSupPr>
          <m:e>
            <m:r>
              <m:rPr>
                <m:nor/>
              </m:rPr>
              <w:rPr>
                <w:rFonts w:ascii="Times New Roman" w:hAnsi="Times New Roman"/>
                <w:szCs w:val="22"/>
              </w:rPr>
              <m:t>Σ</m:t>
            </m:r>
          </m:e>
          <m:sub>
            <m:r>
              <m:rPr>
                <m:nor/>
              </m:rPr>
              <w:rPr>
                <w:rFonts w:ascii="Times New Roman" w:hAnsi="Times New Roman"/>
                <w:szCs w:val="22"/>
              </w:rPr>
              <m:t>g</m:t>
            </m:r>
          </m:sub>
          <m:sup>
            <m:r>
              <m:rPr>
                <m:sty m:val="p"/>
              </m:rPr>
              <w:rPr>
                <w:rFonts w:ascii="Cambria Math" w:hAnsi="Cambria Math"/>
                <w:szCs w:val="22"/>
              </w:rPr>
              <m:t>-</m:t>
            </m:r>
          </m:sup>
        </m:sSubSup>
      </m:oMath>
      <w:r w:rsidRPr="002F2012">
        <w:rPr>
          <w:rFonts w:ascii="Times New Roman" w:hAnsi="Times New Roman"/>
          <w:szCs w:val="22"/>
        </w:rPr>
        <w:t>)</w:t>
      </w:r>
      <w:r w:rsidR="002F2012" w:rsidRPr="002F2012">
        <w:rPr>
          <w:rFonts w:ascii="Times New Roman" w:hAnsi="Times New Roman"/>
        </w:rPr>
        <w:t>,</w:t>
      </w:r>
      <w:r w:rsidRPr="002F2012">
        <w:rPr>
          <w:rFonts w:ascii="Times New Roman" w:hAnsi="Times New Roman"/>
          <w:szCs w:val="22"/>
        </w:rPr>
        <w:t xml:space="preserve"> </w:t>
      </w:r>
      <w:r w:rsidR="002F2012" w:rsidRPr="002F2012">
        <w:rPr>
          <w:rFonts w:ascii="Times New Roman" w:hAnsi="Times New Roman"/>
        </w:rPr>
        <w:t>t</w:t>
      </w:r>
      <w:r w:rsidRPr="002F2012">
        <w:rPr>
          <w:rFonts w:ascii="Times New Roman" w:hAnsi="Times New Roman"/>
          <w:szCs w:val="22"/>
        </w:rPr>
        <w:t>hermodynamic analysis of our experimental results proves the observation of reaction with stated electronic and spin-orbit levels:</w:t>
      </w:r>
      <w:r w:rsidRPr="002F2012">
        <w:rPr>
          <w:rFonts w:ascii="Times New Roman" w:hAnsi="Times New Roman"/>
        </w:rPr>
        <w:t xml:space="preserve"> </w:t>
      </w:r>
      <w:r w:rsidRPr="002F2012">
        <w:rPr>
          <w:rFonts w:ascii="Times New Roman" w:hAnsi="Times New Roman"/>
          <w:szCs w:val="22"/>
          <w:vertAlign w:val="superscript"/>
        </w:rPr>
        <w:t>120</w:t>
      </w:r>
      <w:r w:rsidRPr="002F2012">
        <w:rPr>
          <w:rFonts w:ascii="Times New Roman" w:hAnsi="Times New Roman"/>
          <w:szCs w:val="22"/>
        </w:rPr>
        <w:t>Sn(</w:t>
      </w:r>
      <w:r w:rsidRPr="002F2012">
        <w:rPr>
          <w:rFonts w:ascii="Times New Roman" w:hAnsi="Times New Roman"/>
          <w:szCs w:val="22"/>
          <w:vertAlign w:val="superscript"/>
        </w:rPr>
        <w:t>3</w:t>
      </w:r>
      <w:r w:rsidRPr="002F2012">
        <w:rPr>
          <w:rFonts w:ascii="Times New Roman" w:hAnsi="Times New Roman"/>
          <w:szCs w:val="22"/>
        </w:rPr>
        <w:t>P</w:t>
      </w:r>
      <w:r w:rsidRPr="002F2012">
        <w:rPr>
          <w:rFonts w:ascii="Times New Roman" w:hAnsi="Times New Roman"/>
          <w:szCs w:val="22"/>
          <w:vertAlign w:val="subscript"/>
        </w:rPr>
        <w:t>j</w:t>
      </w:r>
      <w:r w:rsidRPr="002F2012">
        <w:rPr>
          <w:rFonts w:ascii="Times New Roman" w:hAnsi="Times New Roman"/>
          <w:szCs w:val="22"/>
        </w:rPr>
        <w:t xml:space="preserve">) + </w:t>
      </w:r>
      <w:r w:rsidRPr="002F2012">
        <w:rPr>
          <w:rFonts w:ascii="Times New Roman" w:hAnsi="Times New Roman"/>
          <w:szCs w:val="22"/>
          <w:vertAlign w:val="superscript"/>
        </w:rPr>
        <w:t>16</w:t>
      </w:r>
      <w:r w:rsidRPr="002F2012">
        <w:rPr>
          <w:rFonts w:ascii="Times New Roman" w:hAnsi="Times New Roman"/>
          <w:szCs w:val="22"/>
        </w:rPr>
        <w:t>O</w:t>
      </w:r>
      <w:r w:rsidRPr="002F2012">
        <w:rPr>
          <w:rFonts w:ascii="Times New Roman" w:hAnsi="Times New Roman"/>
          <w:szCs w:val="22"/>
          <w:vertAlign w:val="subscript"/>
        </w:rPr>
        <w:t>2</w:t>
      </w:r>
      <w:r w:rsidRPr="002F2012">
        <w:rPr>
          <w:rFonts w:ascii="Times New Roman" w:hAnsi="Times New Roman"/>
          <w:szCs w:val="22"/>
        </w:rPr>
        <w:t>(X</w:t>
      </w:r>
      <w:r w:rsidRPr="002F2012">
        <w:rPr>
          <w:rFonts w:ascii="Times New Roman" w:hAnsi="Times New Roman"/>
          <w:szCs w:val="22"/>
          <w:vertAlign w:val="superscript"/>
        </w:rPr>
        <w:t>3</w:t>
      </w:r>
      <m:oMath>
        <m:sSubSup>
          <m:sSubSupPr>
            <m:ctrlPr>
              <w:rPr>
                <w:rFonts w:ascii="Cambria Math" w:hAnsi="Cambria Math"/>
                <w:i/>
                <w:szCs w:val="22"/>
              </w:rPr>
            </m:ctrlPr>
          </m:sSubSupPr>
          <m:e>
            <m:r>
              <m:rPr>
                <m:nor/>
              </m:rPr>
              <w:rPr>
                <w:rFonts w:ascii="Times New Roman" w:hAnsi="Times New Roman"/>
                <w:szCs w:val="22"/>
              </w:rPr>
              <m:t>Σ</m:t>
            </m:r>
          </m:e>
          <m:sub>
            <m:r>
              <m:rPr>
                <m:nor/>
              </m:rPr>
              <w:rPr>
                <w:rFonts w:ascii="Times New Roman" w:hAnsi="Times New Roman"/>
                <w:szCs w:val="22"/>
              </w:rPr>
              <m:t>g</m:t>
            </m:r>
          </m:sub>
          <m:sup>
            <m:r>
              <m:rPr>
                <m:sty m:val="p"/>
              </m:rPr>
              <w:rPr>
                <w:rFonts w:ascii="Cambria Math" w:hAnsi="Cambria Math"/>
                <w:szCs w:val="22"/>
              </w:rPr>
              <m:t>-</m:t>
            </m:r>
          </m:sup>
        </m:sSubSup>
      </m:oMath>
      <w:r w:rsidRPr="002F2012">
        <w:rPr>
          <w:rFonts w:ascii="Times New Roman" w:hAnsi="Times New Roman"/>
          <w:szCs w:val="22"/>
        </w:rPr>
        <w:t xml:space="preserve">) → </w:t>
      </w:r>
      <w:r w:rsidRPr="002F2012">
        <w:rPr>
          <w:rFonts w:ascii="Times New Roman" w:hAnsi="Times New Roman"/>
          <w:szCs w:val="22"/>
          <w:vertAlign w:val="superscript"/>
        </w:rPr>
        <w:t>120</w:t>
      </w:r>
      <w:r w:rsidRPr="002F2012">
        <w:rPr>
          <w:rFonts w:ascii="Times New Roman" w:hAnsi="Times New Roman"/>
          <w:szCs w:val="22"/>
        </w:rPr>
        <w:t>Sn</w:t>
      </w:r>
      <w:r w:rsidRPr="002F2012">
        <w:rPr>
          <w:rFonts w:ascii="Times New Roman" w:hAnsi="Times New Roman"/>
          <w:szCs w:val="22"/>
          <w:vertAlign w:val="superscript"/>
        </w:rPr>
        <w:t>16</w:t>
      </w:r>
      <w:r w:rsidRPr="002F2012">
        <w:rPr>
          <w:rFonts w:ascii="Times New Roman" w:hAnsi="Times New Roman"/>
          <w:szCs w:val="22"/>
        </w:rPr>
        <w:t>O(X</w:t>
      </w:r>
      <w:r w:rsidRPr="002F2012">
        <w:rPr>
          <w:rFonts w:ascii="Times New Roman" w:hAnsi="Times New Roman"/>
          <w:szCs w:val="22"/>
          <w:vertAlign w:val="superscript"/>
        </w:rPr>
        <w:t>1</w:t>
      </w:r>
      <m:oMath>
        <m:r>
          <m:rPr>
            <m:sty m:val="p"/>
          </m:rPr>
          <w:rPr>
            <w:rFonts w:ascii="Cambria Math" w:hAnsi="Cambria Math"/>
            <w:szCs w:val="22"/>
          </w:rPr>
          <m:t>Σ</m:t>
        </m:r>
      </m:oMath>
      <w:r w:rsidRPr="002F2012">
        <w:rPr>
          <w:rFonts w:ascii="Times New Roman" w:hAnsi="Times New Roman"/>
          <w:szCs w:val="22"/>
          <w:vertAlign w:val="superscript"/>
        </w:rPr>
        <w:t>+</w:t>
      </w:r>
      <w:r w:rsidRPr="002F2012">
        <w:rPr>
          <w:rFonts w:ascii="Times New Roman" w:hAnsi="Times New Roman"/>
          <w:szCs w:val="22"/>
        </w:rPr>
        <w:t xml:space="preserve">) + </w:t>
      </w:r>
      <w:r w:rsidRPr="002F2012">
        <w:rPr>
          <w:rFonts w:ascii="Times New Roman" w:hAnsi="Times New Roman"/>
          <w:szCs w:val="22"/>
          <w:vertAlign w:val="superscript"/>
        </w:rPr>
        <w:t>16</w:t>
      </w:r>
      <w:r w:rsidRPr="002F2012">
        <w:rPr>
          <w:rFonts w:ascii="Times New Roman" w:hAnsi="Times New Roman"/>
          <w:szCs w:val="22"/>
        </w:rPr>
        <w:t>O(</w:t>
      </w:r>
      <w:r w:rsidRPr="002F2012">
        <w:rPr>
          <w:rFonts w:ascii="Times New Roman" w:hAnsi="Times New Roman"/>
          <w:szCs w:val="22"/>
          <w:vertAlign w:val="superscript"/>
        </w:rPr>
        <w:t>3</w:t>
      </w:r>
      <w:r w:rsidRPr="002F2012">
        <w:rPr>
          <w:rFonts w:ascii="Times New Roman" w:hAnsi="Times New Roman"/>
          <w:szCs w:val="22"/>
        </w:rPr>
        <w:t>P).</w:t>
      </w:r>
      <w:r w:rsidR="002F2012" w:rsidRPr="002F2012">
        <w:rPr>
          <w:rFonts w:ascii="Times New Roman" w:hAnsi="Times New Roman"/>
        </w:rPr>
        <w:t xml:space="preserve"> </w:t>
      </w:r>
      <w:r w:rsidR="002F2012" w:rsidRPr="002F2012">
        <w:rPr>
          <w:rFonts w:ascii="Times New Roman" w:hAnsi="Times New Roman"/>
        </w:rPr>
        <w:t>The studied reaction follows a mechanism parallel to that for the gas phase reaction of germanium and silicon with molecular oxygen, however, the presence of the tin atom enhances and expands ISC via the “heavy atom effect”.</w:t>
      </w:r>
    </w:p>
    <w:p w14:paraId="70899354" w14:textId="150A839D" w:rsidR="000F2695" w:rsidRDefault="000F2695" w:rsidP="002F04CB">
      <w:pPr>
        <w:spacing w:before="240" w:after="80" w:line="276" w:lineRule="auto"/>
        <w:jc w:val="both"/>
      </w:pPr>
    </w:p>
    <w:sectPr w:rsidR="000F2695" w:rsidSect="006F3B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719"/>
    <w:rsid w:val="00023719"/>
    <w:rsid w:val="000F2695"/>
    <w:rsid w:val="00162BC1"/>
    <w:rsid w:val="0018576D"/>
    <w:rsid w:val="00212E27"/>
    <w:rsid w:val="002A38B6"/>
    <w:rsid w:val="002F04CB"/>
    <w:rsid w:val="002F2012"/>
    <w:rsid w:val="00352466"/>
    <w:rsid w:val="00360C0F"/>
    <w:rsid w:val="003B5B7D"/>
    <w:rsid w:val="00585673"/>
    <w:rsid w:val="006227E4"/>
    <w:rsid w:val="006F3B6A"/>
    <w:rsid w:val="00765108"/>
    <w:rsid w:val="00986C5A"/>
    <w:rsid w:val="009D0001"/>
    <w:rsid w:val="00A91209"/>
    <w:rsid w:val="00C0629B"/>
    <w:rsid w:val="00D24A5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BB5F"/>
  <w15:chartTrackingRefBased/>
  <w15:docId w15:val="{867BD95D-EC84-42DE-A5E4-C806EB3F8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FReferencesSection">
    <w:name w:val="TF_References_Section"/>
    <w:basedOn w:val="Normal"/>
    <w:rsid w:val="00023719"/>
    <w:pPr>
      <w:spacing w:after="200" w:line="480" w:lineRule="auto"/>
      <w:ind w:firstLine="187"/>
      <w:jc w:val="both"/>
    </w:pPr>
    <w:rPr>
      <w:rFonts w:ascii="Times" w:eastAsia="Times New Roman" w:hAnsi="Times" w:cs="Times New Roman"/>
      <w:sz w:val="24"/>
      <w:szCs w:val="20"/>
    </w:rPr>
  </w:style>
  <w:style w:type="paragraph" w:customStyle="1" w:styleId="TAMainText">
    <w:name w:val="TA_Main_Text"/>
    <w:basedOn w:val="Normal"/>
    <w:rsid w:val="00023719"/>
    <w:pPr>
      <w:spacing w:after="0" w:line="480" w:lineRule="auto"/>
      <w:ind w:firstLine="202"/>
      <w:jc w:val="both"/>
    </w:pPr>
    <w:rPr>
      <w:rFonts w:ascii="Times" w:eastAsia="Times New Roman" w:hAnsi="Times" w:cs="Times New Roman"/>
      <w:sz w:val="24"/>
      <w:szCs w:val="20"/>
    </w:rPr>
  </w:style>
  <w:style w:type="paragraph" w:customStyle="1" w:styleId="BDAbstract">
    <w:name w:val="BD_Abstract"/>
    <w:basedOn w:val="Normal"/>
    <w:next w:val="Normal"/>
    <w:rsid w:val="002F2012"/>
    <w:pPr>
      <w:spacing w:before="360" w:after="360" w:line="480" w:lineRule="auto"/>
      <w:jc w:val="both"/>
    </w:pPr>
    <w:rPr>
      <w:rFonts w:ascii="Times" w:eastAsia="Times New Roman"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Медведков Яков</dc:creator>
  <cp:keywords/>
  <dc:description/>
  <cp:lastModifiedBy>Медведков Яков</cp:lastModifiedBy>
  <cp:revision>3</cp:revision>
  <dcterms:created xsi:type="dcterms:W3CDTF">2024-09-24T06:44:00Z</dcterms:created>
  <dcterms:modified xsi:type="dcterms:W3CDTF">2024-09-24T06:47:00Z</dcterms:modified>
</cp:coreProperties>
</file>